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24" w:rsidRPr="00B02107" w:rsidRDefault="00793924" w:rsidP="00793924">
      <w:pPr>
        <w:jc w:val="center"/>
        <w:rPr>
          <w:b/>
          <w:sz w:val="28"/>
          <w:szCs w:val="28"/>
        </w:rPr>
      </w:pPr>
      <w:r w:rsidRPr="00B02107">
        <w:rPr>
          <w:rFonts w:hint="eastAsia"/>
          <w:b/>
          <w:sz w:val="28"/>
          <w:szCs w:val="28"/>
        </w:rPr>
        <w:t>中华人民共和国国务院令</w:t>
      </w:r>
    </w:p>
    <w:p w:rsidR="00793924" w:rsidRPr="00B02107" w:rsidRDefault="00793924" w:rsidP="00793924">
      <w:pPr>
        <w:jc w:val="center"/>
        <w:rPr>
          <w:b/>
          <w:sz w:val="28"/>
          <w:szCs w:val="28"/>
        </w:rPr>
      </w:pPr>
      <w:r w:rsidRPr="00B02107">
        <w:rPr>
          <w:rFonts w:hint="eastAsia"/>
          <w:b/>
          <w:sz w:val="28"/>
          <w:szCs w:val="28"/>
        </w:rPr>
        <w:t>第</w:t>
      </w:r>
      <w:r w:rsidRPr="00B02107">
        <w:rPr>
          <w:rFonts w:hint="eastAsia"/>
          <w:b/>
          <w:sz w:val="28"/>
          <w:szCs w:val="28"/>
        </w:rPr>
        <w:t>708</w:t>
      </w:r>
      <w:r w:rsidRPr="00B02107">
        <w:rPr>
          <w:rFonts w:hint="eastAsia"/>
          <w:b/>
          <w:sz w:val="28"/>
          <w:szCs w:val="28"/>
        </w:rPr>
        <w:t>号</w:t>
      </w:r>
    </w:p>
    <w:p w:rsidR="00793924" w:rsidRPr="00B02107" w:rsidRDefault="00793924" w:rsidP="00793924">
      <w:pPr>
        <w:jc w:val="left"/>
        <w:rPr>
          <w:rFonts w:hint="eastAsia"/>
          <w:b/>
          <w:sz w:val="28"/>
          <w:szCs w:val="28"/>
        </w:rPr>
      </w:pPr>
      <w:r w:rsidRPr="00B02107">
        <w:rPr>
          <w:rFonts w:hint="eastAsia"/>
          <w:b/>
          <w:sz w:val="28"/>
          <w:szCs w:val="28"/>
        </w:rPr>
        <w:t>《生产安全事故应急条例》已经</w:t>
      </w:r>
      <w:r w:rsidRPr="00B02107">
        <w:rPr>
          <w:rFonts w:hint="eastAsia"/>
          <w:b/>
          <w:sz w:val="28"/>
          <w:szCs w:val="28"/>
        </w:rPr>
        <w:t>2018</w:t>
      </w:r>
      <w:r w:rsidRPr="00B02107">
        <w:rPr>
          <w:rFonts w:hint="eastAsia"/>
          <w:b/>
          <w:sz w:val="28"/>
          <w:szCs w:val="28"/>
        </w:rPr>
        <w:t>年</w:t>
      </w:r>
      <w:r w:rsidRPr="00B02107">
        <w:rPr>
          <w:rFonts w:hint="eastAsia"/>
          <w:b/>
          <w:sz w:val="28"/>
          <w:szCs w:val="28"/>
        </w:rPr>
        <w:t>12</w:t>
      </w:r>
      <w:r w:rsidRPr="00B02107">
        <w:rPr>
          <w:rFonts w:hint="eastAsia"/>
          <w:b/>
          <w:sz w:val="28"/>
          <w:szCs w:val="28"/>
        </w:rPr>
        <w:t>月</w:t>
      </w:r>
      <w:r w:rsidRPr="00B02107">
        <w:rPr>
          <w:rFonts w:hint="eastAsia"/>
          <w:b/>
          <w:sz w:val="28"/>
          <w:szCs w:val="28"/>
        </w:rPr>
        <w:t>5</w:t>
      </w:r>
      <w:r w:rsidRPr="00B02107">
        <w:rPr>
          <w:rFonts w:hint="eastAsia"/>
          <w:b/>
          <w:sz w:val="28"/>
          <w:szCs w:val="28"/>
        </w:rPr>
        <w:t>日国务院第</w:t>
      </w:r>
      <w:r w:rsidRPr="00B02107">
        <w:rPr>
          <w:rFonts w:hint="eastAsia"/>
          <w:b/>
          <w:sz w:val="28"/>
          <w:szCs w:val="28"/>
        </w:rPr>
        <w:t>33</w:t>
      </w:r>
      <w:r w:rsidRPr="00B02107">
        <w:rPr>
          <w:rFonts w:hint="eastAsia"/>
          <w:b/>
          <w:sz w:val="28"/>
          <w:szCs w:val="28"/>
        </w:rPr>
        <w:t>次常务会议通过，现予公布，自</w:t>
      </w:r>
      <w:r w:rsidRPr="00B02107">
        <w:rPr>
          <w:rFonts w:hint="eastAsia"/>
          <w:b/>
          <w:sz w:val="28"/>
          <w:szCs w:val="28"/>
        </w:rPr>
        <w:t>2019</w:t>
      </w:r>
      <w:r w:rsidRPr="00B02107">
        <w:rPr>
          <w:rFonts w:hint="eastAsia"/>
          <w:b/>
          <w:sz w:val="28"/>
          <w:szCs w:val="28"/>
        </w:rPr>
        <w:t>年</w:t>
      </w:r>
      <w:r w:rsidRPr="00B02107">
        <w:rPr>
          <w:rFonts w:hint="eastAsia"/>
          <w:b/>
          <w:sz w:val="28"/>
          <w:szCs w:val="28"/>
        </w:rPr>
        <w:t>4</w:t>
      </w:r>
      <w:r w:rsidRPr="00B02107">
        <w:rPr>
          <w:rFonts w:hint="eastAsia"/>
          <w:b/>
          <w:sz w:val="28"/>
          <w:szCs w:val="28"/>
        </w:rPr>
        <w:t>月</w:t>
      </w:r>
      <w:r w:rsidRPr="00B02107">
        <w:rPr>
          <w:rFonts w:hint="eastAsia"/>
          <w:b/>
          <w:sz w:val="28"/>
          <w:szCs w:val="28"/>
        </w:rPr>
        <w:t>1</w:t>
      </w:r>
      <w:r w:rsidRPr="00B02107">
        <w:rPr>
          <w:rFonts w:hint="eastAsia"/>
          <w:b/>
          <w:sz w:val="28"/>
          <w:szCs w:val="28"/>
        </w:rPr>
        <w:t>日起施行。</w:t>
      </w:r>
    </w:p>
    <w:p w:rsidR="00793924" w:rsidRPr="00B02107" w:rsidRDefault="00793924" w:rsidP="00793924">
      <w:pPr>
        <w:jc w:val="right"/>
        <w:rPr>
          <w:b/>
          <w:sz w:val="28"/>
          <w:szCs w:val="28"/>
        </w:rPr>
      </w:pPr>
    </w:p>
    <w:p w:rsidR="00793924" w:rsidRPr="00B02107" w:rsidRDefault="00793924" w:rsidP="00793924">
      <w:pPr>
        <w:jc w:val="right"/>
        <w:rPr>
          <w:rFonts w:hint="eastAsia"/>
          <w:b/>
          <w:sz w:val="28"/>
          <w:szCs w:val="28"/>
        </w:rPr>
      </w:pPr>
      <w:r w:rsidRPr="00B02107">
        <w:rPr>
          <w:rFonts w:hint="eastAsia"/>
          <w:b/>
          <w:sz w:val="28"/>
          <w:szCs w:val="28"/>
        </w:rPr>
        <w:t>总理　　李克强</w:t>
      </w:r>
    </w:p>
    <w:p w:rsidR="00793924" w:rsidRPr="00B02107" w:rsidRDefault="00793924" w:rsidP="00793924">
      <w:pPr>
        <w:jc w:val="right"/>
        <w:rPr>
          <w:b/>
          <w:sz w:val="28"/>
          <w:szCs w:val="28"/>
        </w:rPr>
      </w:pPr>
    </w:p>
    <w:p w:rsidR="00793924" w:rsidRPr="00B02107" w:rsidRDefault="00793924" w:rsidP="00793924">
      <w:pPr>
        <w:jc w:val="right"/>
        <w:rPr>
          <w:rFonts w:hint="eastAsia"/>
          <w:b/>
          <w:sz w:val="28"/>
          <w:szCs w:val="28"/>
        </w:rPr>
      </w:pPr>
      <w:r w:rsidRPr="00B02107">
        <w:rPr>
          <w:rFonts w:hint="eastAsia"/>
          <w:b/>
          <w:sz w:val="28"/>
          <w:szCs w:val="28"/>
        </w:rPr>
        <w:t>2019</w:t>
      </w:r>
      <w:r w:rsidRPr="00B02107">
        <w:rPr>
          <w:rFonts w:hint="eastAsia"/>
          <w:b/>
          <w:sz w:val="28"/>
          <w:szCs w:val="28"/>
        </w:rPr>
        <w:t>年</w:t>
      </w:r>
      <w:r w:rsidRPr="00B02107">
        <w:rPr>
          <w:rFonts w:hint="eastAsia"/>
          <w:b/>
          <w:sz w:val="28"/>
          <w:szCs w:val="28"/>
        </w:rPr>
        <w:t>2</w:t>
      </w:r>
      <w:r w:rsidRPr="00B02107">
        <w:rPr>
          <w:rFonts w:hint="eastAsia"/>
          <w:b/>
          <w:sz w:val="28"/>
          <w:szCs w:val="28"/>
        </w:rPr>
        <w:t>月</w:t>
      </w:r>
      <w:r w:rsidRPr="00B02107">
        <w:rPr>
          <w:rFonts w:hint="eastAsia"/>
          <w:b/>
          <w:sz w:val="28"/>
          <w:szCs w:val="28"/>
        </w:rPr>
        <w:t>17</w:t>
      </w:r>
      <w:r w:rsidRPr="00B02107">
        <w:rPr>
          <w:rFonts w:hint="eastAsia"/>
          <w:b/>
          <w:sz w:val="28"/>
          <w:szCs w:val="28"/>
        </w:rPr>
        <w:t>日</w:t>
      </w:r>
    </w:p>
    <w:p w:rsidR="00793924" w:rsidRPr="00793924" w:rsidRDefault="00793924" w:rsidP="00793924">
      <w:pPr>
        <w:jc w:val="right"/>
        <w:rPr>
          <w:sz w:val="28"/>
          <w:szCs w:val="28"/>
        </w:rPr>
      </w:pPr>
    </w:p>
    <w:p w:rsidR="00793924" w:rsidRPr="00793924" w:rsidRDefault="00793924" w:rsidP="00793924">
      <w:pPr>
        <w:spacing w:line="360" w:lineRule="auto"/>
        <w:jc w:val="center"/>
        <w:rPr>
          <w:rFonts w:hint="eastAsia"/>
          <w:sz w:val="24"/>
          <w:szCs w:val="24"/>
        </w:rPr>
      </w:pPr>
      <w:r w:rsidRPr="00793924">
        <w:rPr>
          <w:rFonts w:hint="eastAsia"/>
          <w:sz w:val="24"/>
          <w:szCs w:val="24"/>
        </w:rPr>
        <w:t>生产安全事故应急条例</w:t>
      </w:r>
    </w:p>
    <w:p w:rsidR="00793924" w:rsidRPr="00793924" w:rsidRDefault="00793924" w:rsidP="00793924">
      <w:pPr>
        <w:spacing w:line="360" w:lineRule="auto"/>
        <w:rPr>
          <w:sz w:val="24"/>
          <w:szCs w:val="24"/>
        </w:rPr>
      </w:pP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第一章　总　　则</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第一条　为了规范生产安全事故应急工作，保障人民群众生命和财产安全，根据《中华人民共和国安全生产法》和《中华人民共和国突发事件应对法》，制定本条例。</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第二条　本条例适用于生产安全事故应急工作；法律、行政法规另有规定的，适用其规定。</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第三条　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县级以上人民政府应急管理部门和其他对有关行业、领域的安全生产工作实施监督管理的部门（以下统称负有安全生产监督管理职责的部门）在各自职责范围内，做好有关行业、领域的生产安全事故应急工作。</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县级以上人民政府应急管理部门指导、协调本级人民政府其他负有安全生产监督管理职责的部门和下级人民</w:t>
      </w:r>
      <w:bookmarkStart w:id="0" w:name="_GoBack"/>
      <w:bookmarkEnd w:id="0"/>
      <w:r w:rsidRPr="00793924">
        <w:rPr>
          <w:rFonts w:hint="eastAsia"/>
          <w:sz w:val="24"/>
          <w:szCs w:val="24"/>
        </w:rPr>
        <w:t>政府的生产安全事故应急工作。</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lastRenderedPageBreak/>
        <w:t>乡、镇人民政府以及街道办事处等地方人民政府派出机关应当协助上级人民政府有关部门依法履行生产安全事故应急工作职责。</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第四条　生产经营单位应当加强生产安全事故应急工作，建立、健全生产安全事故应急工作责任制，其主要负责人对本单位的生产安全事故应急工作全面负责。</w:t>
      </w:r>
    </w:p>
    <w:p w:rsidR="00793924" w:rsidRDefault="00793924" w:rsidP="00163F39">
      <w:pPr>
        <w:spacing w:line="360" w:lineRule="auto"/>
        <w:ind w:firstLineChars="200" w:firstLine="480"/>
        <w:rPr>
          <w:rFonts w:hint="eastAsia"/>
          <w:sz w:val="24"/>
          <w:szCs w:val="24"/>
        </w:rPr>
      </w:pP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第二章　应急准备</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第五条　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生产经营单位应当针对本单位可能发生的生产安全事故的特点和危害，进行风险辨识和评估，制定相应的生产安全事故应急救援预案，并向本单位从业人员公布。</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第六条　生产安全事故应急救援预案应当符合有关法律、法规、规章和标准的规定，具有科学性、针对性和可操作性，明确规定应急组织体系、职责分工以及应急救援程序和措施。</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有下列情形之一的，生产安全事故应急救援预案制定单位应当及时修订相关预案：</w:t>
      </w:r>
    </w:p>
    <w:p w:rsidR="00793924" w:rsidRPr="00793924" w:rsidRDefault="00793924" w:rsidP="00163F39">
      <w:pPr>
        <w:spacing w:line="360" w:lineRule="auto"/>
        <w:ind w:firstLineChars="200" w:firstLine="480"/>
        <w:rPr>
          <w:sz w:val="24"/>
          <w:szCs w:val="24"/>
        </w:rPr>
      </w:pPr>
      <w:r w:rsidRPr="00793924">
        <w:rPr>
          <w:rFonts w:hint="eastAsia"/>
          <w:sz w:val="24"/>
          <w:szCs w:val="24"/>
        </w:rPr>
        <w:t>（一）制定预案所依据的法律、法规、规章、标准发生重大变化；</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（二）应急指挥机构及其职责发生调整；</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（三）安全生产面临的风险发生重大变化；</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（四）重要应急资源发生重大变化；</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（五）在预案演练或者应急救援中发现需要修订预案的重大问题；</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（六）其他应当修订的情形。</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第七条　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w:t>
      </w:r>
      <w:r w:rsidRPr="00793924">
        <w:rPr>
          <w:rFonts w:hint="eastAsia"/>
          <w:sz w:val="24"/>
          <w:szCs w:val="24"/>
        </w:rPr>
        <w:lastRenderedPageBreak/>
        <w:t>经营单位，应当将其制定的生产安全事故应急救援预案按照国家有关规定报送县级以上人民政府负有安全生产监督管理职责的部门备案，并依法向社会公布。</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第八条　县级以上地方人民政府以及县级以上人民政府负有安全生产监督管理职责的部门，乡、镇人民政府以及街道办事处等地方人民政府派出机关，应当至少每</w:t>
      </w:r>
      <w:r w:rsidRPr="00793924">
        <w:rPr>
          <w:rFonts w:hint="eastAsia"/>
          <w:sz w:val="24"/>
          <w:szCs w:val="24"/>
        </w:rPr>
        <w:t>2</w:t>
      </w:r>
      <w:r w:rsidRPr="00793924">
        <w:rPr>
          <w:rFonts w:hint="eastAsia"/>
          <w:sz w:val="24"/>
          <w:szCs w:val="24"/>
        </w:rPr>
        <w:t>年组织</w:t>
      </w:r>
      <w:r w:rsidRPr="00793924">
        <w:rPr>
          <w:rFonts w:hint="eastAsia"/>
          <w:sz w:val="24"/>
          <w:szCs w:val="24"/>
        </w:rPr>
        <w:t>1</w:t>
      </w:r>
      <w:r w:rsidRPr="00793924">
        <w:rPr>
          <w:rFonts w:hint="eastAsia"/>
          <w:sz w:val="24"/>
          <w:szCs w:val="24"/>
        </w:rPr>
        <w:t>次生产安全事故应急救援预案演练。</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易燃易爆物品、危险化学品等危险物品的生产、经营、储存、运输单位，矿山、金属冶炼、城市轨道交通运营、建筑施工单位，以及宾馆、商场、娱乐场所、旅游景区等人员密集场所经营单位，应当至少每半年组织</w:t>
      </w:r>
      <w:r w:rsidRPr="00793924">
        <w:rPr>
          <w:rFonts w:hint="eastAsia"/>
          <w:sz w:val="24"/>
          <w:szCs w:val="24"/>
        </w:rPr>
        <w:t>1</w:t>
      </w:r>
      <w:r w:rsidRPr="00793924">
        <w:rPr>
          <w:rFonts w:hint="eastAsia"/>
          <w:sz w:val="24"/>
          <w:szCs w:val="24"/>
        </w:rPr>
        <w:t>次生产安全事故应急救援预案演练，并将演练情况报送所在地县级以上地方人民政府负有安全生产监督管理职责的部门。</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县级以上地方人民政府负有安全生产监督管理职责的部门应当对本行政区域内前款规定的重点生产经营单位的生产安全事故应急救援预案演练进行抽查；发现演练不符合要求的，应当责令限期改正。</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第九条　县级以上人民政府应当加强对生产安全事故应急救援队伍建设的统一规划、组织和指导。</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县级以上人民政府负有安全生产监督管理职责的部门根据生产安全事故应急工作的实际需要，在重点行业、领域单独建立或者依托有条件的生产经营单位、社会组织共同建立应急救援队伍。</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国家鼓励和支持生产经营单位和其他社会力量建立提供社会化应急救援服务的应急救援队伍。</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第十条　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工业园区、开发区等产业聚集区域内的生产经营单位，可以联合建立应急救援队伍。</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第十一条　应急救援队伍的应急救援人员应当具备必要的专业知识、技能、</w:t>
      </w:r>
      <w:r w:rsidRPr="00793924">
        <w:rPr>
          <w:rFonts w:hint="eastAsia"/>
          <w:sz w:val="24"/>
          <w:szCs w:val="24"/>
        </w:rPr>
        <w:lastRenderedPageBreak/>
        <w:t>身体素质和心理素质。</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应急救援队伍建立单位或者兼职应急救援人员所在单位应当按照国家有关规定对应急救援人员进行培训；应急救援人员经培训合格后，方可参加应急救援工作。</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应急救援队伍应当配备必要的应急救援装备和物资，并定期组织训练。</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第十二条　生产经营单位应当及时将本单位应急救援队伍建立情况按照国家有关规定报送县级以上人民政府负有安全生产监督管理职责的部门，并依法向社会公布。</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县级以上人民政府负有安全生产监督管理职责的部门应当定期将本行业、本领域的应急救援队伍建立情况报送本级人民政府，并依法向社会公布。</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第十三条　县级以上地方人民政府应当根据本行政区域内可能发生的生产安全事故的特点和危害，储备必要的应急救援装备和物资，并及时更新和补充。</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第十四条　下列单位应当建立应急值班制度，配备应急值班人员：</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（一）县级以上人民政府及其负有安全生产监督管理职责的部门；</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（二）危险物品的生产、经营、储存、运输单位以及矿山、金属冶炼、城市轨道交通运营、建筑施工单位；</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（三）应急救援队伍。</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规模较大、危险性较高的易燃易爆物品、危险化学品等危险物品的生产、经营、储存、运输单位应当成立应急处置技术组，实行</w:t>
      </w:r>
      <w:r w:rsidRPr="00793924">
        <w:rPr>
          <w:rFonts w:hint="eastAsia"/>
          <w:sz w:val="24"/>
          <w:szCs w:val="24"/>
        </w:rPr>
        <w:t>24</w:t>
      </w:r>
      <w:r w:rsidRPr="00793924">
        <w:rPr>
          <w:rFonts w:hint="eastAsia"/>
          <w:sz w:val="24"/>
          <w:szCs w:val="24"/>
        </w:rPr>
        <w:t>小时应急值班。</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第十五条　生产经营单位应当对从业人员进行应急教育和培训，保证从业人员具备必要的应急知识，掌握风险防范技能和事故应急措施。</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第十六条　国务院负有安全生产监督管理职责的部门应当按照国家有关规定建立生产安全事故应急救援信息系统，并采取有效措施，实现数据互联互通、信息共享。</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lastRenderedPageBreak/>
        <w:t>生产经营单位可以通过生产安全事故应急救援信息系统办理生产安全事故应急救援预案备案手续，报送应急救援预案演练情况和应急救援队伍建设情况；但依法需要保密的除外。</w:t>
      </w:r>
    </w:p>
    <w:p w:rsidR="00163F39" w:rsidRDefault="00163F39" w:rsidP="00163F39">
      <w:pPr>
        <w:spacing w:line="360" w:lineRule="auto"/>
        <w:ind w:firstLineChars="200" w:firstLine="480"/>
        <w:rPr>
          <w:rFonts w:hint="eastAsia"/>
          <w:sz w:val="24"/>
          <w:szCs w:val="24"/>
        </w:rPr>
      </w:pPr>
    </w:p>
    <w:p w:rsidR="00793924" w:rsidRPr="00793924" w:rsidRDefault="00793924" w:rsidP="00163F39">
      <w:pPr>
        <w:spacing w:line="360" w:lineRule="auto"/>
        <w:ind w:firstLineChars="200" w:firstLine="480"/>
        <w:rPr>
          <w:sz w:val="24"/>
          <w:szCs w:val="24"/>
        </w:rPr>
      </w:pPr>
      <w:r w:rsidRPr="00793924">
        <w:rPr>
          <w:rFonts w:hint="eastAsia"/>
          <w:sz w:val="24"/>
          <w:szCs w:val="24"/>
        </w:rPr>
        <w:t>第三章　应急救援</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第十七条　发生生产安全事故后，生产经营单位应当立即启动生产安全事故应急救援预案，采取下列一项或者多项应急救援措施，并按照国家有关规定报告事故情况：</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（一）迅速控制危险源，组织抢救遇险人员；</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（二）根据事故危害程度，组织现场人员撤离或者采取可能的应急措施后撤离；</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（三）及时通知可能受到事故影响的单位和人员；</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（四）采取必要措施，防止事故危害扩大和次生、衍生灾害发生；</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（五）根据需要请求邻近的应急救援队伍参加救援，并向参加救援的应急救援队伍提供相关技术资料、信息和处置方法；</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（六）维护事故现场秩序，保护事故现场和相关证据；</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（七）法律、法规规定的其他应急救援措施。</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第十八条　有关地方人民政府及其部门接到生产安全事故报告后，应当按照国家有关规定上报事故情况，启动相应的生产安全事故应急救援预案，并按照应急救援预案的规定采取下列一项或者多项应急救援措施：</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（一）组织抢救遇险人员，救治受伤人员，</w:t>
      </w:r>
      <w:proofErr w:type="gramStart"/>
      <w:r w:rsidRPr="00793924">
        <w:rPr>
          <w:rFonts w:hint="eastAsia"/>
          <w:sz w:val="24"/>
          <w:szCs w:val="24"/>
        </w:rPr>
        <w:t>研</w:t>
      </w:r>
      <w:proofErr w:type="gramEnd"/>
      <w:r w:rsidRPr="00793924">
        <w:rPr>
          <w:rFonts w:hint="eastAsia"/>
          <w:sz w:val="24"/>
          <w:szCs w:val="24"/>
        </w:rPr>
        <w:t>判事故发展趋势以及可能造成的危害；</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（二）通知可能受到事故影响的单位和人员，隔离事故现场，划定警戒区域，疏散受到威胁的人员，实施交通管制；</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（三）采取必要措施，防止事故危害扩大和次生、衍生灾害发生，避免或者减少事故对环境造成的危害；</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（四）依法发布调用和征用应急资源的决定；</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（五）依法向应急救援队伍下达救援命令；</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（六）维护事故现场秩序，组织安抚遇险人员和遇险遇难人员亲属；</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lastRenderedPageBreak/>
        <w:t>（七）依法发布有关事故情况和应急救援工作的信息；</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（八）法律、法规规定的其他应急救援措施。</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有关地方人民政府不能有效控制生产安全事故的，应当及时向上级人民政府报告。上级人民政府应当及时采取措施，统一指挥应急救援。</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第十九条　应急救援队伍接到有关人民政府及其部门的救援命令或者签有应急救援协议的生产经营单位的救援请求后，应当立即参加生产安全事故应急救援。</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应急救援队伍根据救援命令参加生产安全事故应急救援所耗费用，由事故责任单位承担；事故责任单位无力承担的，由有关人民政府协调解决。</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第二十条　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第二十一条　现场指挥部实行总指挥负责制，按照本级人民政府的授权组织制定并实施生产安全事故现场应急救援方案，协调、指挥有关单位和个人参加现场应急救援。</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参加生产安全事故现场应急救援的单位和个人应当服从现场指挥部的统一指挥。</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第二十二条　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第二十三条　生产安全事故发生地人民政府应当为应急救援人员提供必需的后勤保障，并组织通信、交通运输、医疗卫生、气象、水文、地质、电力、供水等单位协助应急救援。</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第二十四条　现场指挥部或者统一指挥生产安全事故应急救援的人民政府及其有关部门应当完整、准确地记录应急救援的重要事项，妥善保存相关原始资料和证据。</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第二十五条　生产安全事故的威胁和危害得到控制或者消除后，有关人民政府应当决定停止执行依照本条例和有关法律、法规采取的全部或者部分应急救援</w:t>
      </w:r>
      <w:r w:rsidRPr="00793924">
        <w:rPr>
          <w:rFonts w:hint="eastAsia"/>
          <w:sz w:val="24"/>
          <w:szCs w:val="24"/>
        </w:rPr>
        <w:lastRenderedPageBreak/>
        <w:t>措施。</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第二十六条　有关人民政府及其部门根据生产安全事故应急救援需要依法调用和征用的财产</w:t>
      </w:r>
      <w:r w:rsidRPr="00793924">
        <w:rPr>
          <w:rFonts w:hint="eastAsia"/>
          <w:sz w:val="24"/>
          <w:szCs w:val="24"/>
        </w:rPr>
        <w:t>,</w:t>
      </w:r>
      <w:r w:rsidRPr="00793924">
        <w:rPr>
          <w:rFonts w:hint="eastAsia"/>
          <w:sz w:val="24"/>
          <w:szCs w:val="24"/>
        </w:rPr>
        <w:t>在使用完毕或者应急救援结束后，应当及时归还。财产被调用、征用或者调用、征用后毁损、灭失的，有关人民政府及其部门应当按照国家有关规定给予补偿。</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第二十七条　按照国家有关规定成立的生产安全事故调查组应当对应急救援工作进行评估，并在事故调查报告中</w:t>
      </w:r>
      <w:proofErr w:type="gramStart"/>
      <w:r w:rsidRPr="00793924">
        <w:rPr>
          <w:rFonts w:hint="eastAsia"/>
          <w:sz w:val="24"/>
          <w:szCs w:val="24"/>
        </w:rPr>
        <w:t>作出</w:t>
      </w:r>
      <w:proofErr w:type="gramEnd"/>
      <w:r w:rsidRPr="00793924">
        <w:rPr>
          <w:rFonts w:hint="eastAsia"/>
          <w:sz w:val="24"/>
          <w:szCs w:val="24"/>
        </w:rPr>
        <w:t>评估结论。</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第二十八条　县级以上地方人民政府应当按照国家有关规定，对在生产安全事故应急救援中伤亡的人员及时给予救治和抚恤；符合烈士评定条件的，按照国家有关规定评定为烈士。</w:t>
      </w:r>
    </w:p>
    <w:p w:rsidR="00163F39" w:rsidRDefault="00163F39" w:rsidP="00163F39">
      <w:pPr>
        <w:spacing w:line="360" w:lineRule="auto"/>
        <w:ind w:firstLineChars="200" w:firstLine="480"/>
        <w:rPr>
          <w:rFonts w:hint="eastAsia"/>
          <w:sz w:val="24"/>
          <w:szCs w:val="24"/>
        </w:rPr>
      </w:pP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第四章　法律责任</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第二十九条　地方各级人民政府和街道办事处等地方人民政府派出机关以及县级以上人民政府有关部门违反本条例规定的，由其上级行政机关责令改正；情节严重的，对直接负责的主管人员和其他直接责任人员依法给予处分。</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第三十条　生产经营单位未制定生产安全事故应急救援预案、未定期组织应急救援预案演练、未对从业人员进行应急教育和培训，生产经营单位的主要负责人在本单位发生生产安全事故时</w:t>
      </w:r>
      <w:proofErr w:type="gramStart"/>
      <w:r w:rsidRPr="00793924">
        <w:rPr>
          <w:rFonts w:hint="eastAsia"/>
          <w:sz w:val="24"/>
          <w:szCs w:val="24"/>
        </w:rPr>
        <w:t>不</w:t>
      </w:r>
      <w:proofErr w:type="gramEnd"/>
      <w:r w:rsidRPr="00793924">
        <w:rPr>
          <w:rFonts w:hint="eastAsia"/>
          <w:sz w:val="24"/>
          <w:szCs w:val="24"/>
        </w:rPr>
        <w:t>立即组织抢救的，由县级以上人民政府负有安全生产监督管理职责的部门依照《中华人民共和国安全生产法》有关规定追究法律责任。</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第三十一条　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第三十二条　生产经营单位未将生产安全事故应急救援预案报送备案、未建立应急值班制度或者配备应急值班人员的，由县级以上人民政府负有安全生产监督管理职责的部门责令限期改正；逾期未改正的，处</w:t>
      </w:r>
      <w:r w:rsidRPr="00793924">
        <w:rPr>
          <w:rFonts w:hint="eastAsia"/>
          <w:sz w:val="24"/>
          <w:szCs w:val="24"/>
        </w:rPr>
        <w:t>3</w:t>
      </w:r>
      <w:r w:rsidRPr="00793924">
        <w:rPr>
          <w:rFonts w:hint="eastAsia"/>
          <w:sz w:val="24"/>
          <w:szCs w:val="24"/>
        </w:rPr>
        <w:t>万元以上</w:t>
      </w:r>
      <w:r w:rsidRPr="00793924">
        <w:rPr>
          <w:rFonts w:hint="eastAsia"/>
          <w:sz w:val="24"/>
          <w:szCs w:val="24"/>
        </w:rPr>
        <w:t>5</w:t>
      </w:r>
      <w:r w:rsidRPr="00793924">
        <w:rPr>
          <w:rFonts w:hint="eastAsia"/>
          <w:sz w:val="24"/>
          <w:szCs w:val="24"/>
        </w:rPr>
        <w:t>万元以下的罚款，对直接负责的主管人员和其他直接责任人员处</w:t>
      </w:r>
      <w:r w:rsidRPr="00793924">
        <w:rPr>
          <w:rFonts w:hint="eastAsia"/>
          <w:sz w:val="24"/>
          <w:szCs w:val="24"/>
        </w:rPr>
        <w:t>1</w:t>
      </w:r>
      <w:r w:rsidRPr="00793924">
        <w:rPr>
          <w:rFonts w:hint="eastAsia"/>
          <w:sz w:val="24"/>
          <w:szCs w:val="24"/>
        </w:rPr>
        <w:t>万元以上</w:t>
      </w:r>
      <w:r w:rsidRPr="00793924">
        <w:rPr>
          <w:rFonts w:hint="eastAsia"/>
          <w:sz w:val="24"/>
          <w:szCs w:val="24"/>
        </w:rPr>
        <w:t>2</w:t>
      </w:r>
      <w:r w:rsidRPr="00793924">
        <w:rPr>
          <w:rFonts w:hint="eastAsia"/>
          <w:sz w:val="24"/>
          <w:szCs w:val="24"/>
        </w:rPr>
        <w:t>万元以下的罚款。</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lastRenderedPageBreak/>
        <w:t>第三十三条　违反本条例规定，构成违反治安管理行为的，由公安机关依法给予处罚；构成犯罪的，依法追究刑事责任。</w:t>
      </w: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第五章　附　　则</w:t>
      </w:r>
    </w:p>
    <w:p w:rsidR="00793924" w:rsidRPr="00793924" w:rsidRDefault="00793924" w:rsidP="00163F39">
      <w:pPr>
        <w:spacing w:line="360" w:lineRule="auto"/>
        <w:ind w:firstLineChars="200" w:firstLine="480"/>
        <w:rPr>
          <w:sz w:val="24"/>
          <w:szCs w:val="24"/>
        </w:rPr>
      </w:pPr>
    </w:p>
    <w:p w:rsidR="00793924" w:rsidRPr="00793924" w:rsidRDefault="00793924" w:rsidP="00163F39">
      <w:pPr>
        <w:spacing w:line="360" w:lineRule="auto"/>
        <w:ind w:firstLineChars="200" w:firstLine="480"/>
        <w:rPr>
          <w:rFonts w:hint="eastAsia"/>
          <w:sz w:val="24"/>
          <w:szCs w:val="24"/>
        </w:rPr>
      </w:pPr>
      <w:r w:rsidRPr="00793924">
        <w:rPr>
          <w:rFonts w:hint="eastAsia"/>
          <w:sz w:val="24"/>
          <w:szCs w:val="24"/>
        </w:rPr>
        <w:t>第三十四条　储存、使用易燃易爆物品、危险化学品等危险物品的科研机构、学校、医院等单位的安全事故应急工作，参照本条例有关规定执行。</w:t>
      </w:r>
    </w:p>
    <w:p w:rsidR="00A23455" w:rsidRPr="00793924" w:rsidRDefault="00793924" w:rsidP="00163F39">
      <w:pPr>
        <w:spacing w:line="360" w:lineRule="auto"/>
        <w:ind w:firstLineChars="200" w:firstLine="480"/>
        <w:rPr>
          <w:sz w:val="24"/>
          <w:szCs w:val="24"/>
        </w:rPr>
      </w:pPr>
      <w:r w:rsidRPr="00793924">
        <w:rPr>
          <w:rFonts w:hint="eastAsia"/>
          <w:sz w:val="24"/>
          <w:szCs w:val="24"/>
        </w:rPr>
        <w:t>第三十五条　本条例自</w:t>
      </w:r>
      <w:r w:rsidRPr="00793924">
        <w:rPr>
          <w:rFonts w:hint="eastAsia"/>
          <w:sz w:val="24"/>
          <w:szCs w:val="24"/>
        </w:rPr>
        <w:t>2019</w:t>
      </w:r>
      <w:r w:rsidRPr="00793924">
        <w:rPr>
          <w:rFonts w:hint="eastAsia"/>
          <w:sz w:val="24"/>
          <w:szCs w:val="24"/>
        </w:rPr>
        <w:t>年</w:t>
      </w:r>
      <w:r w:rsidRPr="00793924">
        <w:rPr>
          <w:rFonts w:hint="eastAsia"/>
          <w:sz w:val="24"/>
          <w:szCs w:val="24"/>
        </w:rPr>
        <w:t>4</w:t>
      </w:r>
      <w:r w:rsidRPr="00793924">
        <w:rPr>
          <w:rFonts w:hint="eastAsia"/>
          <w:sz w:val="24"/>
          <w:szCs w:val="24"/>
        </w:rPr>
        <w:t>月</w:t>
      </w:r>
      <w:r w:rsidRPr="00793924">
        <w:rPr>
          <w:rFonts w:hint="eastAsia"/>
          <w:sz w:val="24"/>
          <w:szCs w:val="24"/>
        </w:rPr>
        <w:t>1</w:t>
      </w:r>
      <w:r w:rsidRPr="00793924">
        <w:rPr>
          <w:rFonts w:hint="eastAsia"/>
          <w:sz w:val="24"/>
          <w:szCs w:val="24"/>
        </w:rPr>
        <w:t>日起施行。</w:t>
      </w:r>
    </w:p>
    <w:sectPr w:rsidR="00A23455" w:rsidRPr="0079392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32" w:rsidRDefault="00E84D32" w:rsidP="008B2858">
      <w:r>
        <w:separator/>
      </w:r>
    </w:p>
  </w:endnote>
  <w:endnote w:type="continuationSeparator" w:id="0">
    <w:p w:rsidR="00E84D32" w:rsidRDefault="00E84D32" w:rsidP="008B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80206"/>
      <w:docPartObj>
        <w:docPartGallery w:val="Page Numbers (Bottom of Page)"/>
        <w:docPartUnique/>
      </w:docPartObj>
    </w:sdtPr>
    <w:sdtContent>
      <w:sdt>
        <w:sdtPr>
          <w:id w:val="-1669238322"/>
          <w:docPartObj>
            <w:docPartGallery w:val="Page Numbers (Top of Page)"/>
            <w:docPartUnique/>
          </w:docPartObj>
        </w:sdtPr>
        <w:sdtContent>
          <w:p w:rsidR="008B2858" w:rsidRDefault="008B285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rsidR="008B2858" w:rsidRDefault="008B28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32" w:rsidRDefault="00E84D32" w:rsidP="008B2858">
      <w:r>
        <w:separator/>
      </w:r>
    </w:p>
  </w:footnote>
  <w:footnote w:type="continuationSeparator" w:id="0">
    <w:p w:rsidR="00E84D32" w:rsidRDefault="00E84D32" w:rsidP="008B2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6E"/>
    <w:rsid w:val="0015576E"/>
    <w:rsid w:val="00163F39"/>
    <w:rsid w:val="00793924"/>
    <w:rsid w:val="008B2858"/>
    <w:rsid w:val="00A23455"/>
    <w:rsid w:val="00B02107"/>
    <w:rsid w:val="00E84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2858"/>
    <w:rPr>
      <w:sz w:val="18"/>
      <w:szCs w:val="18"/>
    </w:rPr>
  </w:style>
  <w:style w:type="paragraph" w:styleId="a4">
    <w:name w:val="footer"/>
    <w:basedOn w:val="a"/>
    <w:link w:val="Char0"/>
    <w:uiPriority w:val="99"/>
    <w:unhideWhenUsed/>
    <w:rsid w:val="008B2858"/>
    <w:pPr>
      <w:tabs>
        <w:tab w:val="center" w:pos="4153"/>
        <w:tab w:val="right" w:pos="8306"/>
      </w:tabs>
      <w:snapToGrid w:val="0"/>
      <w:jc w:val="left"/>
    </w:pPr>
    <w:rPr>
      <w:sz w:val="18"/>
      <w:szCs w:val="18"/>
    </w:rPr>
  </w:style>
  <w:style w:type="character" w:customStyle="1" w:styleId="Char0">
    <w:name w:val="页脚 Char"/>
    <w:basedOn w:val="a0"/>
    <w:link w:val="a4"/>
    <w:uiPriority w:val="99"/>
    <w:rsid w:val="008B28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2858"/>
    <w:rPr>
      <w:sz w:val="18"/>
      <w:szCs w:val="18"/>
    </w:rPr>
  </w:style>
  <w:style w:type="paragraph" w:styleId="a4">
    <w:name w:val="footer"/>
    <w:basedOn w:val="a"/>
    <w:link w:val="Char0"/>
    <w:uiPriority w:val="99"/>
    <w:unhideWhenUsed/>
    <w:rsid w:val="008B2858"/>
    <w:pPr>
      <w:tabs>
        <w:tab w:val="center" w:pos="4153"/>
        <w:tab w:val="right" w:pos="8306"/>
      </w:tabs>
      <w:snapToGrid w:val="0"/>
      <w:jc w:val="left"/>
    </w:pPr>
    <w:rPr>
      <w:sz w:val="18"/>
      <w:szCs w:val="18"/>
    </w:rPr>
  </w:style>
  <w:style w:type="character" w:customStyle="1" w:styleId="Char0">
    <w:name w:val="页脚 Char"/>
    <w:basedOn w:val="a0"/>
    <w:link w:val="a4"/>
    <w:uiPriority w:val="99"/>
    <w:rsid w:val="008B28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785</Words>
  <Characters>4477</Characters>
  <Application>Microsoft Office Word</Application>
  <DocSecurity>0</DocSecurity>
  <Lines>37</Lines>
  <Paragraphs>10</Paragraphs>
  <ScaleCrop>false</ScaleCrop>
  <Company>Microsoft</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2019-04-18T06:31:00Z</dcterms:created>
  <dcterms:modified xsi:type="dcterms:W3CDTF">2019-04-18T06:36:00Z</dcterms:modified>
</cp:coreProperties>
</file>